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A1F" w:rsidRDefault="000376A1">
      <w:r>
        <w:t>Procedure for Suitability Assessment for client</w:t>
      </w:r>
    </w:p>
    <w:p w:rsidR="00954A1F" w:rsidRDefault="000376A1">
      <w:pPr>
        <w:jc w:val="both"/>
      </w:pPr>
      <w:r>
        <w:t xml:space="preserve">Pursuant to the obligations placed on an investment advisor by SEBI under SEBI (Investment Advisor) Regulations 2013, we have decided to formulate policies for risk profiling and suitability assessment as </w:t>
      </w:r>
      <w:r>
        <w:t>required under regulation 16 and 17 of the said act.</w:t>
      </w:r>
    </w:p>
    <w:p w:rsidR="00954A1F" w:rsidRDefault="000376A1">
      <w:pPr>
        <w:jc w:val="both"/>
      </w:pPr>
      <w:r>
        <w:t xml:space="preserve">The classification should be done in a manner that </w:t>
      </w:r>
    </w:p>
    <w:p w:rsidR="00954A1F" w:rsidRDefault="000376A1">
      <w:pPr>
        <w:jc w:val="both"/>
      </w:pPr>
      <w:r>
        <w:t xml:space="preserve"> (</w:t>
      </w:r>
      <w:proofErr w:type="spellStart"/>
      <w:r>
        <w:t>i</w:t>
      </w:r>
      <w:proofErr w:type="spellEnd"/>
      <w:r>
        <w:t xml:space="preserve">) </w:t>
      </w:r>
      <w:proofErr w:type="gramStart"/>
      <w:r>
        <w:t>it</w:t>
      </w:r>
      <w:proofErr w:type="gramEnd"/>
      <w:r>
        <w:t xml:space="preserve"> meets the client’s investment objectives;</w:t>
      </w:r>
    </w:p>
    <w:p w:rsidR="00954A1F" w:rsidRDefault="000376A1">
      <w:pPr>
        <w:jc w:val="both"/>
      </w:pPr>
      <w:r>
        <w:t xml:space="preserve">(ii) </w:t>
      </w:r>
      <w:proofErr w:type="gramStart"/>
      <w:r>
        <w:t>the</w:t>
      </w:r>
      <w:proofErr w:type="gramEnd"/>
      <w:r>
        <w:t xml:space="preserve"> client is able to bear any related investment risks consistent with its investment objective</w:t>
      </w:r>
      <w:r>
        <w:t>s and risk tolerance;</w:t>
      </w:r>
    </w:p>
    <w:p w:rsidR="00954A1F" w:rsidRDefault="000376A1">
      <w:pPr>
        <w:jc w:val="both"/>
      </w:pPr>
      <w:r>
        <w:t xml:space="preserve">(iii) </w:t>
      </w:r>
      <w:proofErr w:type="gramStart"/>
      <w:r>
        <w:t>the</w:t>
      </w:r>
      <w:proofErr w:type="gramEnd"/>
      <w:r>
        <w:t xml:space="preserve"> client has the necessary experience and knowledge to understand the risks involved in the transaction.</w:t>
      </w:r>
    </w:p>
    <w:p w:rsidR="00954A1F" w:rsidRDefault="000376A1">
      <w:pPr>
        <w:jc w:val="both"/>
      </w:pPr>
      <w:r>
        <w:t>To ensure that the advice given to the client is suitable for the client we shall ensure that all investments on which in</w:t>
      </w:r>
      <w:r>
        <w:t xml:space="preserve">vestment advice is provided is appropriate to the risk profile of the client by categorizing client as low risk appetite, medium risk appetite and high risk appetite. A similar classification will be done for products after considering the risk and reward </w:t>
      </w:r>
      <w:r>
        <w:t xml:space="preserve">of the services offered and various </w:t>
      </w:r>
      <w:proofErr w:type="spellStart"/>
      <w:r>
        <w:t>sebi</w:t>
      </w:r>
      <w:proofErr w:type="spellEnd"/>
      <w:r>
        <w:t xml:space="preserve"> guidelines in this regards. Client with Medium risk appetite is recommended to subscribe medium risk services only and client with high risk appetite is recommended to subscribe either medium or high risk services. </w:t>
      </w:r>
      <w:r>
        <w:t>We do not offer low risk services.</w:t>
      </w:r>
    </w:p>
    <w:p w:rsidR="00954A1F" w:rsidRDefault="000376A1">
      <w:pPr>
        <w:jc w:val="both"/>
      </w:pPr>
      <w:r>
        <w:t xml:space="preserve">We are not offering any complex financial products. </w:t>
      </w:r>
    </w:p>
    <w:tbl>
      <w:tblPr>
        <w:tblStyle w:val="TableGrid"/>
        <w:tblW w:w="0" w:type="auto"/>
        <w:tblLook w:val="04A0"/>
      </w:tblPr>
      <w:tblGrid>
        <w:gridCol w:w="1202"/>
        <w:gridCol w:w="1286"/>
        <w:gridCol w:w="1417"/>
        <w:gridCol w:w="1422"/>
        <w:gridCol w:w="1383"/>
        <w:gridCol w:w="2758"/>
      </w:tblGrid>
      <w:tr w:rsidR="00954A1F">
        <w:tc>
          <w:tcPr>
            <w:tcW w:w="1202" w:type="dxa"/>
          </w:tcPr>
          <w:p w:rsidR="00954A1F" w:rsidRDefault="000376A1">
            <w:pPr>
              <w:spacing w:after="0" w:line="240" w:lineRule="auto"/>
              <w:jc w:val="both"/>
            </w:pPr>
            <w:r>
              <w:t>Sr. No</w:t>
            </w:r>
          </w:p>
        </w:tc>
        <w:tc>
          <w:tcPr>
            <w:tcW w:w="1286" w:type="dxa"/>
          </w:tcPr>
          <w:p w:rsidR="00954A1F" w:rsidRDefault="000376A1">
            <w:pPr>
              <w:spacing w:after="0" w:line="240" w:lineRule="auto"/>
              <w:jc w:val="both"/>
            </w:pPr>
            <w:r>
              <w:t>Score</w:t>
            </w:r>
          </w:p>
        </w:tc>
        <w:tc>
          <w:tcPr>
            <w:tcW w:w="1417" w:type="dxa"/>
          </w:tcPr>
          <w:p w:rsidR="00954A1F" w:rsidRDefault="000376A1">
            <w:pPr>
              <w:spacing w:after="0" w:line="240" w:lineRule="auto"/>
              <w:jc w:val="both"/>
            </w:pPr>
            <w:r>
              <w:t>Type of Investor</w:t>
            </w:r>
          </w:p>
        </w:tc>
        <w:tc>
          <w:tcPr>
            <w:tcW w:w="1422" w:type="dxa"/>
          </w:tcPr>
          <w:p w:rsidR="00954A1F" w:rsidRDefault="000376A1">
            <w:pPr>
              <w:spacing w:after="0" w:line="240" w:lineRule="auto"/>
              <w:jc w:val="both"/>
            </w:pPr>
            <w:r>
              <w:t>Level of Risk Tolerance</w:t>
            </w:r>
          </w:p>
        </w:tc>
        <w:tc>
          <w:tcPr>
            <w:tcW w:w="1383" w:type="dxa"/>
          </w:tcPr>
          <w:p w:rsidR="00954A1F" w:rsidRDefault="000376A1">
            <w:pPr>
              <w:spacing w:after="0" w:line="240" w:lineRule="auto"/>
              <w:jc w:val="both"/>
            </w:pPr>
            <w:r>
              <w:t>Suitable Services</w:t>
            </w:r>
          </w:p>
        </w:tc>
        <w:tc>
          <w:tcPr>
            <w:tcW w:w="2758" w:type="dxa"/>
          </w:tcPr>
          <w:p w:rsidR="00954A1F" w:rsidRDefault="000376A1">
            <w:pPr>
              <w:spacing w:after="0" w:line="240" w:lineRule="auto"/>
              <w:jc w:val="both"/>
            </w:pPr>
            <w:r>
              <w:t>Characteristics of services</w:t>
            </w:r>
          </w:p>
        </w:tc>
      </w:tr>
      <w:tr w:rsidR="00954A1F">
        <w:tc>
          <w:tcPr>
            <w:tcW w:w="1202" w:type="dxa"/>
          </w:tcPr>
          <w:p w:rsidR="00954A1F" w:rsidRDefault="000376A1">
            <w:pPr>
              <w:spacing w:after="0" w:line="240" w:lineRule="auto"/>
              <w:jc w:val="both"/>
            </w:pPr>
            <w:r>
              <w:t>1</w:t>
            </w:r>
          </w:p>
        </w:tc>
        <w:tc>
          <w:tcPr>
            <w:tcW w:w="1286" w:type="dxa"/>
          </w:tcPr>
          <w:p w:rsidR="00954A1F" w:rsidRDefault="000376A1">
            <w:pPr>
              <w:spacing w:after="0" w:line="240" w:lineRule="auto"/>
              <w:jc w:val="both"/>
            </w:pPr>
            <w:r>
              <w:t>0-10</w:t>
            </w:r>
          </w:p>
        </w:tc>
        <w:tc>
          <w:tcPr>
            <w:tcW w:w="1417" w:type="dxa"/>
          </w:tcPr>
          <w:p w:rsidR="00954A1F" w:rsidRDefault="000376A1">
            <w:pPr>
              <w:spacing w:after="0" w:line="240" w:lineRule="auto"/>
              <w:jc w:val="both"/>
            </w:pPr>
            <w:r>
              <w:t>Conservative</w:t>
            </w:r>
          </w:p>
        </w:tc>
        <w:tc>
          <w:tcPr>
            <w:tcW w:w="1422" w:type="dxa"/>
          </w:tcPr>
          <w:p w:rsidR="00954A1F" w:rsidRDefault="000376A1">
            <w:pPr>
              <w:spacing w:after="0" w:line="240" w:lineRule="auto"/>
              <w:jc w:val="both"/>
            </w:pPr>
            <w:r>
              <w:t>Low</w:t>
            </w:r>
          </w:p>
        </w:tc>
        <w:tc>
          <w:tcPr>
            <w:tcW w:w="1383" w:type="dxa"/>
          </w:tcPr>
          <w:p w:rsidR="00954A1F" w:rsidRDefault="000376A1">
            <w:pPr>
              <w:spacing w:after="0" w:line="240" w:lineRule="auto"/>
              <w:jc w:val="both"/>
            </w:pPr>
            <w:r>
              <w:t>Nil</w:t>
            </w:r>
          </w:p>
        </w:tc>
        <w:tc>
          <w:tcPr>
            <w:tcW w:w="2758" w:type="dxa"/>
          </w:tcPr>
          <w:p w:rsidR="00954A1F" w:rsidRDefault="000376A1">
            <w:pPr>
              <w:spacing w:after="0" w:line="240" w:lineRule="auto"/>
              <w:jc w:val="both"/>
            </w:pPr>
            <w:r>
              <w:t>NA</w:t>
            </w:r>
          </w:p>
        </w:tc>
      </w:tr>
      <w:tr w:rsidR="00954A1F">
        <w:tc>
          <w:tcPr>
            <w:tcW w:w="1202" w:type="dxa"/>
          </w:tcPr>
          <w:p w:rsidR="00954A1F" w:rsidRDefault="000376A1">
            <w:pPr>
              <w:spacing w:after="0" w:line="240" w:lineRule="auto"/>
              <w:jc w:val="both"/>
            </w:pPr>
            <w:r>
              <w:t>2</w:t>
            </w:r>
          </w:p>
        </w:tc>
        <w:tc>
          <w:tcPr>
            <w:tcW w:w="1286" w:type="dxa"/>
          </w:tcPr>
          <w:p w:rsidR="00954A1F" w:rsidRDefault="000376A1">
            <w:pPr>
              <w:spacing w:after="0" w:line="240" w:lineRule="auto"/>
              <w:jc w:val="both"/>
            </w:pPr>
            <w:r>
              <w:t>11-15</w:t>
            </w:r>
          </w:p>
        </w:tc>
        <w:tc>
          <w:tcPr>
            <w:tcW w:w="1417" w:type="dxa"/>
          </w:tcPr>
          <w:p w:rsidR="00954A1F" w:rsidRDefault="000376A1">
            <w:pPr>
              <w:spacing w:after="0" w:line="240" w:lineRule="auto"/>
              <w:jc w:val="both"/>
            </w:pPr>
            <w:r>
              <w:t>Moderate</w:t>
            </w:r>
          </w:p>
        </w:tc>
        <w:tc>
          <w:tcPr>
            <w:tcW w:w="1422" w:type="dxa"/>
          </w:tcPr>
          <w:p w:rsidR="00954A1F" w:rsidRDefault="000376A1">
            <w:pPr>
              <w:spacing w:after="0" w:line="240" w:lineRule="auto"/>
              <w:jc w:val="both"/>
            </w:pPr>
            <w:r>
              <w:t>Medium</w:t>
            </w:r>
          </w:p>
        </w:tc>
        <w:tc>
          <w:tcPr>
            <w:tcW w:w="1383" w:type="dxa"/>
          </w:tcPr>
          <w:p w:rsidR="00954A1F" w:rsidRDefault="000376A1">
            <w:pPr>
              <w:spacing w:after="0" w:line="240" w:lineRule="auto"/>
              <w:jc w:val="both"/>
            </w:pPr>
            <w:r>
              <w:t>Group A</w:t>
            </w:r>
          </w:p>
        </w:tc>
        <w:tc>
          <w:tcPr>
            <w:tcW w:w="2758" w:type="dxa"/>
          </w:tcPr>
          <w:p w:rsidR="00954A1F" w:rsidRDefault="000376A1">
            <w:pPr>
              <w:spacing w:after="0" w:line="240" w:lineRule="auto"/>
              <w:jc w:val="both"/>
            </w:pPr>
            <w:r>
              <w:t>Offers Medium risk and reward,</w:t>
            </w:r>
          </w:p>
          <w:p w:rsidR="00954A1F" w:rsidRDefault="000376A1">
            <w:pPr>
              <w:spacing w:after="0" w:line="240" w:lineRule="auto"/>
              <w:jc w:val="both"/>
            </w:pPr>
            <w:r>
              <w:t>Generally principal is exposed to risk but not 100% exposed to risk</w:t>
            </w:r>
          </w:p>
          <w:p w:rsidR="00954A1F" w:rsidRDefault="000376A1">
            <w:pPr>
              <w:spacing w:after="0" w:line="240" w:lineRule="auto"/>
              <w:jc w:val="both"/>
            </w:pPr>
            <w:r>
              <w:t xml:space="preserve">Approximately 4-5 tips per service and mostly intraday </w:t>
            </w:r>
          </w:p>
        </w:tc>
      </w:tr>
      <w:tr w:rsidR="00954A1F">
        <w:tc>
          <w:tcPr>
            <w:tcW w:w="1202" w:type="dxa"/>
          </w:tcPr>
          <w:p w:rsidR="00954A1F" w:rsidRDefault="000376A1">
            <w:pPr>
              <w:spacing w:after="0" w:line="240" w:lineRule="auto"/>
              <w:jc w:val="both"/>
            </w:pPr>
            <w:r>
              <w:t>3</w:t>
            </w:r>
          </w:p>
        </w:tc>
        <w:tc>
          <w:tcPr>
            <w:tcW w:w="1286" w:type="dxa"/>
          </w:tcPr>
          <w:p w:rsidR="00954A1F" w:rsidRDefault="000376A1">
            <w:pPr>
              <w:spacing w:after="0" w:line="240" w:lineRule="auto"/>
              <w:jc w:val="both"/>
            </w:pPr>
            <w:r>
              <w:t>16-24 and above</w:t>
            </w:r>
          </w:p>
        </w:tc>
        <w:tc>
          <w:tcPr>
            <w:tcW w:w="1417" w:type="dxa"/>
          </w:tcPr>
          <w:p w:rsidR="00954A1F" w:rsidRDefault="000376A1">
            <w:pPr>
              <w:spacing w:after="0" w:line="240" w:lineRule="auto"/>
              <w:jc w:val="both"/>
            </w:pPr>
            <w:r>
              <w:t>Aggressive</w:t>
            </w:r>
          </w:p>
        </w:tc>
        <w:tc>
          <w:tcPr>
            <w:tcW w:w="1422" w:type="dxa"/>
          </w:tcPr>
          <w:p w:rsidR="00954A1F" w:rsidRDefault="000376A1">
            <w:pPr>
              <w:spacing w:after="0" w:line="240" w:lineRule="auto"/>
              <w:jc w:val="both"/>
            </w:pPr>
            <w:r>
              <w:t>High</w:t>
            </w:r>
          </w:p>
        </w:tc>
        <w:tc>
          <w:tcPr>
            <w:tcW w:w="1383" w:type="dxa"/>
          </w:tcPr>
          <w:p w:rsidR="00954A1F" w:rsidRDefault="000376A1">
            <w:pPr>
              <w:spacing w:after="0" w:line="240" w:lineRule="auto"/>
              <w:jc w:val="both"/>
            </w:pPr>
            <w:r>
              <w:t>Group B</w:t>
            </w:r>
          </w:p>
        </w:tc>
        <w:tc>
          <w:tcPr>
            <w:tcW w:w="2758" w:type="dxa"/>
          </w:tcPr>
          <w:p w:rsidR="00954A1F" w:rsidRDefault="000376A1">
            <w:pPr>
              <w:spacing w:after="0" w:line="240" w:lineRule="auto"/>
              <w:jc w:val="both"/>
            </w:pPr>
            <w:r>
              <w:t>Offers High risk and high return, Principal may be at 100%</w:t>
            </w:r>
            <w:r>
              <w:t xml:space="preserve"> risk, suitable only for experienced investors/ willing to take risk in markets for high returns.</w:t>
            </w:r>
          </w:p>
          <w:p w:rsidR="00954A1F" w:rsidRDefault="000376A1">
            <w:pPr>
              <w:spacing w:after="0" w:line="240" w:lineRule="auto"/>
              <w:jc w:val="both"/>
            </w:pPr>
            <w:r>
              <w:t>Approximately 4-5 tips per service and sometimes required to hold the position.</w:t>
            </w:r>
          </w:p>
        </w:tc>
      </w:tr>
    </w:tbl>
    <w:p w:rsidR="00954A1F" w:rsidRDefault="00954A1F"/>
    <w:p w:rsidR="00954A1F" w:rsidRDefault="000376A1">
      <w:pPr>
        <w:pStyle w:val="Default"/>
        <w:rPr>
          <w:rFonts w:asciiTheme="minorHAnsi" w:hAnsiTheme="minorHAnsi"/>
          <w:sz w:val="22"/>
          <w:szCs w:val="22"/>
        </w:rPr>
      </w:pPr>
      <w:r>
        <w:rPr>
          <w:rFonts w:asciiTheme="minorHAnsi" w:hAnsiTheme="minorHAnsi"/>
          <w:b/>
          <w:bCs/>
          <w:sz w:val="22"/>
          <w:szCs w:val="22"/>
        </w:rPr>
        <w:lastRenderedPageBreak/>
        <w:t>“</w:t>
      </w:r>
      <w:proofErr w:type="gramStart"/>
      <w:r>
        <w:rPr>
          <w:rFonts w:asciiTheme="minorHAnsi" w:hAnsiTheme="minorHAnsi"/>
          <w:b/>
          <w:bCs/>
          <w:sz w:val="22"/>
          <w:szCs w:val="22"/>
        </w:rPr>
        <w:t>low</w:t>
      </w:r>
      <w:proofErr w:type="gramEnd"/>
      <w:r>
        <w:rPr>
          <w:rFonts w:asciiTheme="minorHAnsi" w:hAnsiTheme="minorHAnsi"/>
          <w:b/>
          <w:bCs/>
          <w:sz w:val="22"/>
          <w:szCs w:val="22"/>
        </w:rPr>
        <w:t xml:space="preserve">” risk investor </w:t>
      </w:r>
    </w:p>
    <w:p w:rsidR="00954A1F" w:rsidRDefault="000376A1">
      <w:pPr>
        <w:pStyle w:val="Default"/>
        <w:rPr>
          <w:rFonts w:asciiTheme="minorHAnsi" w:hAnsiTheme="minorHAnsi"/>
          <w:sz w:val="22"/>
          <w:szCs w:val="22"/>
        </w:rPr>
      </w:pPr>
      <w:r>
        <w:rPr>
          <w:rFonts w:asciiTheme="minorHAnsi" w:hAnsiTheme="minorHAnsi"/>
          <w:sz w:val="22"/>
          <w:szCs w:val="22"/>
        </w:rPr>
        <w:t>-An investor who has low ability to accept risk. To ach</w:t>
      </w:r>
      <w:r>
        <w:rPr>
          <w:rFonts w:asciiTheme="minorHAnsi" w:hAnsiTheme="minorHAnsi"/>
          <w:sz w:val="22"/>
          <w:szCs w:val="22"/>
        </w:rPr>
        <w:t xml:space="preserve">ieve better returns, not willing/ able to invest a portion in equity funds or stocks for capital gains </w:t>
      </w:r>
    </w:p>
    <w:p w:rsidR="00954A1F" w:rsidRDefault="00954A1F">
      <w:pPr>
        <w:pStyle w:val="Default"/>
        <w:rPr>
          <w:rFonts w:asciiTheme="minorHAnsi" w:hAnsiTheme="minorHAnsi"/>
          <w:sz w:val="22"/>
          <w:szCs w:val="22"/>
        </w:rPr>
      </w:pPr>
    </w:p>
    <w:p w:rsidR="00954A1F" w:rsidRDefault="000376A1">
      <w:pPr>
        <w:pStyle w:val="Default"/>
        <w:rPr>
          <w:rFonts w:asciiTheme="minorHAnsi" w:hAnsiTheme="minorHAnsi"/>
          <w:sz w:val="22"/>
          <w:szCs w:val="22"/>
        </w:rPr>
      </w:pPr>
      <w:r>
        <w:rPr>
          <w:rFonts w:asciiTheme="minorHAnsi" w:hAnsiTheme="minorHAnsi"/>
          <w:b/>
          <w:bCs/>
          <w:sz w:val="22"/>
          <w:szCs w:val="22"/>
        </w:rPr>
        <w:t>“</w:t>
      </w:r>
      <w:proofErr w:type="gramStart"/>
      <w:r>
        <w:rPr>
          <w:rFonts w:asciiTheme="minorHAnsi" w:hAnsiTheme="minorHAnsi"/>
          <w:b/>
          <w:bCs/>
          <w:sz w:val="22"/>
          <w:szCs w:val="22"/>
        </w:rPr>
        <w:t>moderate</w:t>
      </w:r>
      <w:proofErr w:type="gramEnd"/>
      <w:r>
        <w:rPr>
          <w:rFonts w:asciiTheme="minorHAnsi" w:hAnsiTheme="minorHAnsi"/>
          <w:b/>
          <w:bCs/>
          <w:sz w:val="22"/>
          <w:szCs w:val="22"/>
        </w:rPr>
        <w:t xml:space="preserve">” risk investor </w:t>
      </w:r>
    </w:p>
    <w:p w:rsidR="00954A1F" w:rsidRDefault="000376A1">
      <w:pPr>
        <w:pStyle w:val="Default"/>
        <w:rPr>
          <w:rFonts w:asciiTheme="minorHAnsi" w:hAnsiTheme="minorHAnsi"/>
          <w:sz w:val="22"/>
          <w:szCs w:val="22"/>
        </w:rPr>
      </w:pPr>
      <w:r>
        <w:rPr>
          <w:rFonts w:asciiTheme="minorHAnsi" w:hAnsiTheme="minorHAnsi" w:cs="Tahoma"/>
          <w:sz w:val="22"/>
          <w:szCs w:val="22"/>
        </w:rPr>
        <w:t xml:space="preserve">- </w:t>
      </w:r>
      <w:r>
        <w:rPr>
          <w:rFonts w:asciiTheme="minorHAnsi" w:hAnsiTheme="minorHAnsi"/>
          <w:sz w:val="22"/>
          <w:szCs w:val="22"/>
        </w:rPr>
        <w:t>An investor who understand risk in investment and accept short to long term fluctuation to achieve a high return and capita</w:t>
      </w:r>
      <w:r>
        <w:rPr>
          <w:rFonts w:asciiTheme="minorHAnsi" w:hAnsiTheme="minorHAnsi"/>
          <w:sz w:val="22"/>
          <w:szCs w:val="22"/>
        </w:rPr>
        <w:t>l gain. Capital values can fluctuate and may fall under original investment capital, during economy downturn.  Such Investor should be offered services classified under Group A</w:t>
      </w:r>
    </w:p>
    <w:p w:rsidR="00954A1F" w:rsidRDefault="00954A1F">
      <w:pPr>
        <w:pStyle w:val="Default"/>
        <w:rPr>
          <w:rFonts w:asciiTheme="minorHAnsi" w:hAnsiTheme="minorHAnsi"/>
          <w:b/>
          <w:bCs/>
          <w:sz w:val="22"/>
          <w:szCs w:val="22"/>
        </w:rPr>
      </w:pPr>
    </w:p>
    <w:p w:rsidR="00954A1F" w:rsidRDefault="000376A1">
      <w:pPr>
        <w:pStyle w:val="Default"/>
        <w:rPr>
          <w:rFonts w:asciiTheme="minorHAnsi" w:hAnsiTheme="minorHAnsi"/>
          <w:sz w:val="22"/>
          <w:szCs w:val="22"/>
        </w:rPr>
      </w:pPr>
      <w:r>
        <w:rPr>
          <w:rFonts w:asciiTheme="minorHAnsi" w:hAnsiTheme="minorHAnsi"/>
          <w:b/>
          <w:bCs/>
          <w:sz w:val="22"/>
          <w:szCs w:val="22"/>
        </w:rPr>
        <w:t>“</w:t>
      </w:r>
      <w:proofErr w:type="gramStart"/>
      <w:r>
        <w:rPr>
          <w:rFonts w:asciiTheme="minorHAnsi" w:hAnsiTheme="minorHAnsi"/>
          <w:b/>
          <w:bCs/>
          <w:sz w:val="22"/>
          <w:szCs w:val="22"/>
        </w:rPr>
        <w:t>high</w:t>
      </w:r>
      <w:proofErr w:type="gramEnd"/>
      <w:r>
        <w:rPr>
          <w:rFonts w:asciiTheme="minorHAnsi" w:hAnsiTheme="minorHAnsi"/>
          <w:b/>
          <w:bCs/>
          <w:sz w:val="22"/>
          <w:szCs w:val="22"/>
        </w:rPr>
        <w:t xml:space="preserve">” risk investor </w:t>
      </w:r>
    </w:p>
    <w:p w:rsidR="00954A1F" w:rsidRDefault="000376A1">
      <w:pPr>
        <w:pStyle w:val="Default"/>
        <w:rPr>
          <w:rFonts w:asciiTheme="minorHAnsi" w:hAnsiTheme="minorHAnsi"/>
          <w:sz w:val="22"/>
          <w:szCs w:val="22"/>
        </w:rPr>
      </w:pPr>
      <w:r>
        <w:rPr>
          <w:rFonts w:asciiTheme="minorHAnsi" w:hAnsiTheme="minorHAnsi" w:cs="Tahoma"/>
          <w:sz w:val="22"/>
          <w:szCs w:val="22"/>
        </w:rPr>
        <w:t xml:space="preserve">- </w:t>
      </w:r>
      <w:r>
        <w:rPr>
          <w:rFonts w:asciiTheme="minorHAnsi" w:hAnsiTheme="minorHAnsi"/>
          <w:sz w:val="22"/>
          <w:szCs w:val="22"/>
        </w:rPr>
        <w:t xml:space="preserve">An investor who seek for “high risk high return” </w:t>
      </w:r>
      <w:r>
        <w:rPr>
          <w:rFonts w:asciiTheme="minorHAnsi" w:hAnsiTheme="minorHAnsi"/>
          <w:sz w:val="22"/>
          <w:szCs w:val="22"/>
        </w:rPr>
        <w:t>investment, able to accept short to long term fluctuation to earn very high returns.  Services under Group B are recommended however client may also opt for services under Group A.</w:t>
      </w:r>
    </w:p>
    <w:p w:rsidR="00954A1F" w:rsidRDefault="00954A1F"/>
    <w:p w:rsidR="00954A1F" w:rsidRDefault="000376A1">
      <w:r>
        <w:t xml:space="preserve">Classification of Services </w:t>
      </w:r>
    </w:p>
    <w:tbl>
      <w:tblPr>
        <w:tblStyle w:val="TableGrid"/>
        <w:tblW w:w="0" w:type="auto"/>
        <w:tblLook w:val="04A0"/>
      </w:tblPr>
      <w:tblGrid>
        <w:gridCol w:w="2394"/>
        <w:gridCol w:w="2394"/>
        <w:gridCol w:w="2394"/>
        <w:gridCol w:w="2394"/>
      </w:tblGrid>
      <w:tr w:rsidR="00954A1F">
        <w:tc>
          <w:tcPr>
            <w:tcW w:w="2394" w:type="dxa"/>
          </w:tcPr>
          <w:p w:rsidR="00954A1F" w:rsidRDefault="000376A1">
            <w:pPr>
              <w:spacing w:after="0" w:line="240" w:lineRule="auto"/>
            </w:pPr>
            <w:r>
              <w:t>Sr. No</w:t>
            </w:r>
          </w:p>
        </w:tc>
        <w:tc>
          <w:tcPr>
            <w:tcW w:w="2394" w:type="dxa"/>
          </w:tcPr>
          <w:p w:rsidR="00954A1F" w:rsidRDefault="000376A1">
            <w:pPr>
              <w:spacing w:after="0" w:line="240" w:lineRule="auto"/>
            </w:pPr>
            <w:r>
              <w:t>Group A</w:t>
            </w:r>
            <w:r>
              <w:t>(Medium Risk)</w:t>
            </w:r>
          </w:p>
        </w:tc>
        <w:tc>
          <w:tcPr>
            <w:tcW w:w="2394" w:type="dxa"/>
          </w:tcPr>
          <w:p w:rsidR="00954A1F" w:rsidRDefault="000376A1">
            <w:pPr>
              <w:spacing w:after="0" w:line="240" w:lineRule="auto"/>
            </w:pPr>
            <w:r>
              <w:t>Group B</w:t>
            </w:r>
            <w:r>
              <w:t>(High Risk)</w:t>
            </w:r>
          </w:p>
        </w:tc>
        <w:tc>
          <w:tcPr>
            <w:tcW w:w="2394" w:type="dxa"/>
          </w:tcPr>
          <w:p w:rsidR="00954A1F" w:rsidRDefault="00954A1F">
            <w:pPr>
              <w:spacing w:after="0" w:line="240" w:lineRule="auto"/>
            </w:pPr>
          </w:p>
        </w:tc>
      </w:tr>
      <w:tr w:rsidR="00954A1F">
        <w:tc>
          <w:tcPr>
            <w:tcW w:w="2394" w:type="dxa"/>
          </w:tcPr>
          <w:p w:rsidR="00954A1F" w:rsidRDefault="000376A1">
            <w:pPr>
              <w:spacing w:after="0" w:line="240" w:lineRule="auto"/>
            </w:pPr>
            <w:r>
              <w:t>1</w:t>
            </w:r>
          </w:p>
        </w:tc>
        <w:tc>
          <w:tcPr>
            <w:tcW w:w="2394" w:type="dxa"/>
          </w:tcPr>
          <w:p w:rsidR="00954A1F" w:rsidRDefault="000376A1">
            <w:pPr>
              <w:spacing w:after="0" w:line="240" w:lineRule="auto"/>
            </w:pPr>
            <w:r>
              <w:t>Stock Cash</w:t>
            </w:r>
            <w:r>
              <w:t xml:space="preserve"> Basic</w:t>
            </w:r>
          </w:p>
        </w:tc>
        <w:tc>
          <w:tcPr>
            <w:tcW w:w="2394" w:type="dxa"/>
          </w:tcPr>
          <w:p w:rsidR="00954A1F" w:rsidRDefault="000376A1">
            <w:pPr>
              <w:spacing w:after="0" w:line="240" w:lineRule="auto"/>
            </w:pPr>
            <w:r>
              <w:t>Stock Cash</w:t>
            </w:r>
            <w:r>
              <w:t xml:space="preserve"> Supreme</w:t>
            </w:r>
          </w:p>
        </w:tc>
        <w:tc>
          <w:tcPr>
            <w:tcW w:w="2394" w:type="dxa"/>
          </w:tcPr>
          <w:p w:rsidR="00954A1F" w:rsidRDefault="00954A1F">
            <w:pPr>
              <w:spacing w:after="0" w:line="240" w:lineRule="auto"/>
            </w:pPr>
          </w:p>
        </w:tc>
      </w:tr>
      <w:tr w:rsidR="00954A1F">
        <w:tc>
          <w:tcPr>
            <w:tcW w:w="2394" w:type="dxa"/>
          </w:tcPr>
          <w:p w:rsidR="00954A1F" w:rsidRDefault="000376A1">
            <w:pPr>
              <w:spacing w:after="0" w:line="240" w:lineRule="auto"/>
            </w:pPr>
            <w:r>
              <w:t>2</w:t>
            </w:r>
          </w:p>
        </w:tc>
        <w:tc>
          <w:tcPr>
            <w:tcW w:w="2394" w:type="dxa"/>
          </w:tcPr>
          <w:p w:rsidR="00954A1F" w:rsidRDefault="000376A1">
            <w:pPr>
              <w:spacing w:after="0" w:line="240" w:lineRule="auto"/>
            </w:pPr>
            <w:r>
              <w:t xml:space="preserve">Stock </w:t>
            </w:r>
            <w:r>
              <w:t>Cash Premium</w:t>
            </w:r>
          </w:p>
        </w:tc>
        <w:tc>
          <w:tcPr>
            <w:tcW w:w="2394" w:type="dxa"/>
          </w:tcPr>
          <w:p w:rsidR="00954A1F" w:rsidRDefault="000376A1">
            <w:pPr>
              <w:spacing w:after="0" w:line="240" w:lineRule="auto"/>
            </w:pPr>
            <w:r>
              <w:t xml:space="preserve">Stock </w:t>
            </w:r>
            <w:r>
              <w:t>Future Basic</w:t>
            </w:r>
          </w:p>
        </w:tc>
        <w:tc>
          <w:tcPr>
            <w:tcW w:w="2394" w:type="dxa"/>
          </w:tcPr>
          <w:p w:rsidR="00954A1F" w:rsidRDefault="00954A1F">
            <w:pPr>
              <w:spacing w:after="0" w:line="240" w:lineRule="auto"/>
            </w:pPr>
          </w:p>
        </w:tc>
      </w:tr>
      <w:tr w:rsidR="00954A1F">
        <w:tc>
          <w:tcPr>
            <w:tcW w:w="2394" w:type="dxa"/>
          </w:tcPr>
          <w:p w:rsidR="00954A1F" w:rsidRDefault="000376A1">
            <w:pPr>
              <w:spacing w:after="0" w:line="240" w:lineRule="auto"/>
            </w:pPr>
            <w:r>
              <w:t>3</w:t>
            </w:r>
          </w:p>
        </w:tc>
        <w:tc>
          <w:tcPr>
            <w:tcW w:w="2394" w:type="dxa"/>
          </w:tcPr>
          <w:p w:rsidR="00954A1F" w:rsidRDefault="00954A1F">
            <w:pPr>
              <w:spacing w:after="0" w:line="240" w:lineRule="auto"/>
            </w:pPr>
          </w:p>
        </w:tc>
        <w:tc>
          <w:tcPr>
            <w:tcW w:w="2394" w:type="dxa"/>
          </w:tcPr>
          <w:p w:rsidR="00954A1F" w:rsidRDefault="000376A1">
            <w:pPr>
              <w:spacing w:after="0" w:line="240" w:lineRule="auto"/>
            </w:pPr>
            <w:r>
              <w:t xml:space="preserve">Stock </w:t>
            </w:r>
            <w:r>
              <w:t>Future Premium</w:t>
            </w:r>
          </w:p>
        </w:tc>
        <w:tc>
          <w:tcPr>
            <w:tcW w:w="2394" w:type="dxa"/>
          </w:tcPr>
          <w:p w:rsidR="00954A1F" w:rsidRDefault="00954A1F">
            <w:pPr>
              <w:spacing w:after="0" w:line="240" w:lineRule="auto"/>
            </w:pPr>
          </w:p>
        </w:tc>
      </w:tr>
      <w:tr w:rsidR="00954A1F">
        <w:tc>
          <w:tcPr>
            <w:tcW w:w="2394" w:type="dxa"/>
          </w:tcPr>
          <w:p w:rsidR="00954A1F" w:rsidRDefault="000376A1">
            <w:pPr>
              <w:spacing w:after="0" w:line="240" w:lineRule="auto"/>
            </w:pPr>
            <w:r>
              <w:t>4</w:t>
            </w:r>
          </w:p>
        </w:tc>
        <w:tc>
          <w:tcPr>
            <w:tcW w:w="2394" w:type="dxa"/>
          </w:tcPr>
          <w:p w:rsidR="00954A1F" w:rsidRDefault="00954A1F">
            <w:pPr>
              <w:spacing w:after="0" w:line="240" w:lineRule="auto"/>
            </w:pPr>
          </w:p>
        </w:tc>
        <w:tc>
          <w:tcPr>
            <w:tcW w:w="2394" w:type="dxa"/>
          </w:tcPr>
          <w:p w:rsidR="00954A1F" w:rsidRDefault="000376A1">
            <w:pPr>
              <w:spacing w:after="0" w:line="240" w:lineRule="auto"/>
            </w:pPr>
            <w:r>
              <w:t xml:space="preserve">Stock </w:t>
            </w:r>
            <w:r>
              <w:t>Future Supreme</w:t>
            </w:r>
          </w:p>
        </w:tc>
        <w:tc>
          <w:tcPr>
            <w:tcW w:w="2394" w:type="dxa"/>
          </w:tcPr>
          <w:p w:rsidR="00954A1F" w:rsidRDefault="00954A1F">
            <w:pPr>
              <w:spacing w:after="0" w:line="240" w:lineRule="auto"/>
            </w:pPr>
          </w:p>
        </w:tc>
      </w:tr>
      <w:tr w:rsidR="00954A1F">
        <w:tc>
          <w:tcPr>
            <w:tcW w:w="2394" w:type="dxa"/>
          </w:tcPr>
          <w:p w:rsidR="00954A1F" w:rsidRDefault="000376A1">
            <w:pPr>
              <w:spacing w:after="0" w:line="240" w:lineRule="auto"/>
            </w:pPr>
            <w:r>
              <w:t>5</w:t>
            </w:r>
          </w:p>
        </w:tc>
        <w:tc>
          <w:tcPr>
            <w:tcW w:w="2394" w:type="dxa"/>
          </w:tcPr>
          <w:p w:rsidR="00954A1F" w:rsidRDefault="00954A1F">
            <w:pPr>
              <w:spacing w:after="0" w:line="240" w:lineRule="auto"/>
            </w:pPr>
          </w:p>
        </w:tc>
        <w:tc>
          <w:tcPr>
            <w:tcW w:w="2394" w:type="dxa"/>
          </w:tcPr>
          <w:p w:rsidR="00954A1F" w:rsidRDefault="000376A1">
            <w:pPr>
              <w:spacing w:after="0" w:line="240" w:lineRule="auto"/>
            </w:pPr>
            <w:r>
              <w:t>Index Basic</w:t>
            </w:r>
          </w:p>
        </w:tc>
        <w:tc>
          <w:tcPr>
            <w:tcW w:w="2394" w:type="dxa"/>
          </w:tcPr>
          <w:p w:rsidR="00954A1F" w:rsidRDefault="00954A1F">
            <w:pPr>
              <w:spacing w:after="0" w:line="240" w:lineRule="auto"/>
            </w:pPr>
          </w:p>
        </w:tc>
      </w:tr>
      <w:tr w:rsidR="00954A1F">
        <w:tc>
          <w:tcPr>
            <w:tcW w:w="2394" w:type="dxa"/>
          </w:tcPr>
          <w:p w:rsidR="00954A1F" w:rsidRDefault="000376A1">
            <w:pPr>
              <w:spacing w:after="0" w:line="240" w:lineRule="auto"/>
            </w:pPr>
            <w:r>
              <w:t>6</w:t>
            </w:r>
          </w:p>
        </w:tc>
        <w:tc>
          <w:tcPr>
            <w:tcW w:w="2394" w:type="dxa"/>
          </w:tcPr>
          <w:p w:rsidR="00954A1F" w:rsidRDefault="00954A1F">
            <w:pPr>
              <w:spacing w:after="0" w:line="240" w:lineRule="auto"/>
            </w:pPr>
          </w:p>
        </w:tc>
        <w:tc>
          <w:tcPr>
            <w:tcW w:w="2394" w:type="dxa"/>
          </w:tcPr>
          <w:p w:rsidR="00954A1F" w:rsidRDefault="000376A1">
            <w:pPr>
              <w:spacing w:after="0" w:line="240" w:lineRule="auto"/>
            </w:pPr>
            <w:r>
              <w:t>Index Premium</w:t>
            </w:r>
          </w:p>
        </w:tc>
        <w:tc>
          <w:tcPr>
            <w:tcW w:w="2394" w:type="dxa"/>
          </w:tcPr>
          <w:p w:rsidR="00954A1F" w:rsidRDefault="00954A1F">
            <w:pPr>
              <w:spacing w:after="0" w:line="240" w:lineRule="auto"/>
            </w:pPr>
          </w:p>
        </w:tc>
      </w:tr>
      <w:tr w:rsidR="00954A1F">
        <w:tc>
          <w:tcPr>
            <w:tcW w:w="2394" w:type="dxa"/>
          </w:tcPr>
          <w:p w:rsidR="00954A1F" w:rsidRDefault="000376A1">
            <w:pPr>
              <w:spacing w:after="0" w:line="240" w:lineRule="auto"/>
            </w:pPr>
            <w:r>
              <w:t>7</w:t>
            </w:r>
          </w:p>
        </w:tc>
        <w:tc>
          <w:tcPr>
            <w:tcW w:w="2394" w:type="dxa"/>
          </w:tcPr>
          <w:p w:rsidR="00954A1F" w:rsidRDefault="00954A1F">
            <w:pPr>
              <w:spacing w:after="0" w:line="240" w:lineRule="auto"/>
            </w:pPr>
          </w:p>
        </w:tc>
        <w:tc>
          <w:tcPr>
            <w:tcW w:w="2394" w:type="dxa"/>
          </w:tcPr>
          <w:p w:rsidR="00954A1F" w:rsidRDefault="000376A1">
            <w:pPr>
              <w:spacing w:after="0" w:line="240" w:lineRule="auto"/>
            </w:pPr>
            <w:proofErr w:type="spellStart"/>
            <w:r>
              <w:t>Mcx</w:t>
            </w:r>
            <w:proofErr w:type="spellEnd"/>
            <w:r>
              <w:t xml:space="preserve"> Basic</w:t>
            </w:r>
          </w:p>
        </w:tc>
        <w:tc>
          <w:tcPr>
            <w:tcW w:w="2394" w:type="dxa"/>
          </w:tcPr>
          <w:p w:rsidR="00954A1F" w:rsidRDefault="00954A1F">
            <w:pPr>
              <w:spacing w:after="0" w:line="240" w:lineRule="auto"/>
            </w:pPr>
          </w:p>
        </w:tc>
      </w:tr>
      <w:tr w:rsidR="00954A1F">
        <w:tc>
          <w:tcPr>
            <w:tcW w:w="2394" w:type="dxa"/>
          </w:tcPr>
          <w:p w:rsidR="00954A1F" w:rsidRDefault="000376A1">
            <w:pPr>
              <w:spacing w:after="0" w:line="240" w:lineRule="auto"/>
            </w:pPr>
            <w:r>
              <w:t>8</w:t>
            </w:r>
          </w:p>
        </w:tc>
        <w:tc>
          <w:tcPr>
            <w:tcW w:w="2394" w:type="dxa"/>
          </w:tcPr>
          <w:p w:rsidR="00954A1F" w:rsidRDefault="00954A1F">
            <w:pPr>
              <w:spacing w:after="0" w:line="240" w:lineRule="auto"/>
            </w:pPr>
          </w:p>
        </w:tc>
        <w:tc>
          <w:tcPr>
            <w:tcW w:w="2394" w:type="dxa"/>
          </w:tcPr>
          <w:p w:rsidR="00954A1F" w:rsidRDefault="000376A1">
            <w:pPr>
              <w:spacing w:after="0" w:line="240" w:lineRule="auto"/>
            </w:pPr>
            <w:proofErr w:type="spellStart"/>
            <w:r>
              <w:t>Mcx</w:t>
            </w:r>
            <w:proofErr w:type="spellEnd"/>
            <w:r>
              <w:t xml:space="preserve"> Premium</w:t>
            </w:r>
          </w:p>
        </w:tc>
        <w:tc>
          <w:tcPr>
            <w:tcW w:w="2394" w:type="dxa"/>
          </w:tcPr>
          <w:p w:rsidR="00954A1F" w:rsidRDefault="00954A1F">
            <w:pPr>
              <w:spacing w:after="0" w:line="240" w:lineRule="auto"/>
            </w:pPr>
          </w:p>
        </w:tc>
      </w:tr>
      <w:tr w:rsidR="00954A1F">
        <w:tc>
          <w:tcPr>
            <w:tcW w:w="2394" w:type="dxa"/>
          </w:tcPr>
          <w:p w:rsidR="00954A1F" w:rsidRDefault="000376A1">
            <w:pPr>
              <w:spacing w:after="0" w:line="240" w:lineRule="auto"/>
            </w:pPr>
            <w:r>
              <w:t>9</w:t>
            </w:r>
          </w:p>
        </w:tc>
        <w:tc>
          <w:tcPr>
            <w:tcW w:w="2394" w:type="dxa"/>
          </w:tcPr>
          <w:p w:rsidR="00954A1F" w:rsidRDefault="00954A1F">
            <w:pPr>
              <w:spacing w:after="0" w:line="240" w:lineRule="auto"/>
            </w:pPr>
          </w:p>
        </w:tc>
        <w:tc>
          <w:tcPr>
            <w:tcW w:w="2394" w:type="dxa"/>
          </w:tcPr>
          <w:p w:rsidR="00954A1F" w:rsidRDefault="000376A1">
            <w:pPr>
              <w:spacing w:after="0" w:line="240" w:lineRule="auto"/>
            </w:pPr>
            <w:proofErr w:type="spellStart"/>
            <w:r>
              <w:t>Mcx</w:t>
            </w:r>
            <w:proofErr w:type="spellEnd"/>
            <w:r>
              <w:t xml:space="preserve"> </w:t>
            </w:r>
            <w:r>
              <w:t>Supreme</w:t>
            </w:r>
          </w:p>
        </w:tc>
        <w:tc>
          <w:tcPr>
            <w:tcW w:w="2394" w:type="dxa"/>
          </w:tcPr>
          <w:p w:rsidR="00954A1F" w:rsidRDefault="00954A1F">
            <w:pPr>
              <w:spacing w:after="0" w:line="240" w:lineRule="auto"/>
            </w:pPr>
          </w:p>
        </w:tc>
      </w:tr>
      <w:tr w:rsidR="000376A1">
        <w:tc>
          <w:tcPr>
            <w:tcW w:w="2394" w:type="dxa"/>
          </w:tcPr>
          <w:p w:rsidR="000376A1" w:rsidRDefault="000376A1">
            <w:pPr>
              <w:spacing w:after="0" w:line="240" w:lineRule="auto"/>
            </w:pPr>
            <w:r>
              <w:t>10</w:t>
            </w:r>
          </w:p>
        </w:tc>
        <w:tc>
          <w:tcPr>
            <w:tcW w:w="2394" w:type="dxa"/>
          </w:tcPr>
          <w:p w:rsidR="000376A1" w:rsidRDefault="000376A1">
            <w:pPr>
              <w:spacing w:after="0" w:line="240" w:lineRule="auto"/>
            </w:pPr>
          </w:p>
        </w:tc>
        <w:tc>
          <w:tcPr>
            <w:tcW w:w="2394" w:type="dxa"/>
          </w:tcPr>
          <w:p w:rsidR="000376A1" w:rsidRDefault="000376A1">
            <w:pPr>
              <w:spacing w:after="0" w:line="240" w:lineRule="auto"/>
            </w:pPr>
            <w:r>
              <w:t>Stock Option Basic</w:t>
            </w:r>
          </w:p>
        </w:tc>
        <w:tc>
          <w:tcPr>
            <w:tcW w:w="2394" w:type="dxa"/>
          </w:tcPr>
          <w:p w:rsidR="000376A1" w:rsidRDefault="000376A1">
            <w:pPr>
              <w:spacing w:after="0" w:line="240" w:lineRule="auto"/>
            </w:pPr>
          </w:p>
        </w:tc>
      </w:tr>
      <w:tr w:rsidR="000376A1">
        <w:tc>
          <w:tcPr>
            <w:tcW w:w="2394" w:type="dxa"/>
          </w:tcPr>
          <w:p w:rsidR="000376A1" w:rsidRDefault="000376A1">
            <w:pPr>
              <w:spacing w:after="0" w:line="240" w:lineRule="auto"/>
            </w:pPr>
            <w:r>
              <w:t>11</w:t>
            </w:r>
          </w:p>
        </w:tc>
        <w:tc>
          <w:tcPr>
            <w:tcW w:w="2394" w:type="dxa"/>
          </w:tcPr>
          <w:p w:rsidR="000376A1" w:rsidRDefault="000376A1">
            <w:pPr>
              <w:spacing w:after="0" w:line="240" w:lineRule="auto"/>
            </w:pPr>
          </w:p>
        </w:tc>
        <w:tc>
          <w:tcPr>
            <w:tcW w:w="2394" w:type="dxa"/>
          </w:tcPr>
          <w:p w:rsidR="000376A1" w:rsidRDefault="000376A1">
            <w:pPr>
              <w:spacing w:after="0" w:line="240" w:lineRule="auto"/>
            </w:pPr>
            <w:r>
              <w:t>Stock Option Premium</w:t>
            </w:r>
          </w:p>
        </w:tc>
        <w:tc>
          <w:tcPr>
            <w:tcW w:w="2394" w:type="dxa"/>
          </w:tcPr>
          <w:p w:rsidR="000376A1" w:rsidRDefault="000376A1">
            <w:pPr>
              <w:spacing w:after="0" w:line="240" w:lineRule="auto"/>
            </w:pPr>
          </w:p>
        </w:tc>
      </w:tr>
    </w:tbl>
    <w:p w:rsidR="00954A1F" w:rsidRDefault="00954A1F"/>
    <w:p w:rsidR="00954A1F" w:rsidRDefault="00954A1F">
      <w:bookmarkStart w:id="0" w:name="_GoBack"/>
      <w:bookmarkEnd w:id="0"/>
    </w:p>
    <w:sectPr w:rsidR="00954A1F" w:rsidSect="00954A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7ADF"/>
    <w:rsid w:val="000376A1"/>
    <w:rsid w:val="00087077"/>
    <w:rsid w:val="002F3829"/>
    <w:rsid w:val="00524884"/>
    <w:rsid w:val="005E529C"/>
    <w:rsid w:val="00684E7A"/>
    <w:rsid w:val="007A439F"/>
    <w:rsid w:val="00890129"/>
    <w:rsid w:val="008A7ADF"/>
    <w:rsid w:val="00954A1F"/>
    <w:rsid w:val="00CD2A6C"/>
    <w:rsid w:val="00D74DF8"/>
    <w:rsid w:val="00E24FE5"/>
    <w:rsid w:val="425161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A1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A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qFormat/>
    <w:rsid w:val="00954A1F"/>
    <w:pPr>
      <w:autoSpaceDE w:val="0"/>
      <w:autoSpaceDN w:val="0"/>
      <w:adjustRightInd w:val="0"/>
      <w:spacing w:after="0" w:line="240" w:lineRule="auto"/>
    </w:pPr>
    <w:rPr>
      <w:rFonts w:ascii="Calibri" w:hAnsi="Calibri" w:cs="Calibri"/>
      <w:color w:val="000000"/>
      <w:sz w:val="24"/>
      <w:szCs w:val="24"/>
      <w:lang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Sumeet</dc:creator>
  <cp:lastModifiedBy>user</cp:lastModifiedBy>
  <cp:revision>5</cp:revision>
  <dcterms:created xsi:type="dcterms:W3CDTF">2018-02-04T18:23:00Z</dcterms:created>
  <dcterms:modified xsi:type="dcterms:W3CDTF">2022-07-11T10:54:00Z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1033-11.2.0.9127</vt:lpwstr>
  </property>
</Properties>
</file>